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D3" w:rsidRDefault="00E5021D">
      <w:pPr>
        <w:pStyle w:val="DefaultText"/>
        <w:tabs>
          <w:tab w:val="left" w:pos="1026"/>
          <w:tab w:val="left" w:pos="2664"/>
          <w:tab w:val="left" w:pos="3969"/>
          <w:tab w:val="left" w:pos="5273"/>
          <w:tab w:val="left" w:pos="6577"/>
          <w:tab w:val="left" w:pos="7881"/>
          <w:tab w:val="left" w:pos="9185"/>
          <w:tab w:val="left" w:pos="10489"/>
          <w:tab w:val="left" w:pos="11793"/>
          <w:tab w:val="left" w:pos="13097"/>
          <w:tab w:val="left" w:pos="14401"/>
        </w:tabs>
        <w:jc w:val="center"/>
        <w:rPr>
          <w:rFonts w:ascii="Verdana" w:hAnsi="Verdana"/>
          <w:b/>
          <w:sz w:val="28"/>
        </w:rPr>
      </w:pPr>
      <w:bookmarkStart w:id="0" w:name="_GoBack"/>
      <w:bookmarkEnd w:id="0"/>
      <w:r>
        <w:rPr>
          <w:rFonts w:ascii="Verdana" w:hAnsi="Verdana"/>
          <w:b/>
          <w:sz w:val="28"/>
        </w:rPr>
        <w:t>STORAGE GUIDELINES FOR LIQUID FERTILIZER</w:t>
      </w:r>
    </w:p>
    <w:p w:rsidR="002D49D3" w:rsidRDefault="002D49D3">
      <w:pPr>
        <w:pStyle w:val="DefaultText"/>
        <w:tabs>
          <w:tab w:val="left" w:pos="1360"/>
          <w:tab w:val="left" w:pos="2664"/>
          <w:tab w:val="left" w:pos="3969"/>
          <w:tab w:val="left" w:pos="5273"/>
          <w:tab w:val="left" w:pos="6577"/>
          <w:tab w:val="left" w:pos="7881"/>
          <w:tab w:val="left" w:pos="9185"/>
          <w:tab w:val="left" w:pos="10489"/>
          <w:tab w:val="left" w:pos="11793"/>
          <w:tab w:val="left" w:pos="13097"/>
          <w:tab w:val="left" w:pos="14401"/>
        </w:tabs>
        <w:rPr>
          <w:sz w:val="28"/>
        </w:rPr>
      </w:pPr>
    </w:p>
    <w:p w:rsidR="002D49D3" w:rsidRDefault="00E5021D">
      <w:pPr>
        <w:pStyle w:val="DefaultText"/>
        <w:tabs>
          <w:tab w:val="left" w:pos="1360"/>
          <w:tab w:val="left" w:pos="2664"/>
          <w:tab w:val="left" w:pos="3969"/>
          <w:tab w:val="left" w:pos="5273"/>
          <w:tab w:val="left" w:pos="6577"/>
          <w:tab w:val="left" w:pos="7881"/>
          <w:tab w:val="left" w:pos="9185"/>
          <w:tab w:val="left" w:pos="10489"/>
          <w:tab w:val="left" w:pos="11793"/>
          <w:tab w:val="left" w:pos="13097"/>
          <w:tab w:val="left" w:pos="14401"/>
        </w:tabs>
        <w:rPr>
          <w:b/>
        </w:rPr>
      </w:pPr>
      <w:r>
        <w:rPr>
          <w:rFonts w:ascii="Verdana" w:hAnsi="Verdana"/>
          <w:b/>
          <w:sz w:val="24"/>
        </w:rPr>
        <w:t>SITING OF STORAGE TANKS</w:t>
      </w:r>
    </w:p>
    <w:p w:rsidR="002D49D3" w:rsidRDefault="002D49D3">
      <w:pPr>
        <w:pStyle w:val="DefaultText"/>
        <w:tabs>
          <w:tab w:val="left" w:pos="1360"/>
          <w:tab w:val="left" w:pos="2664"/>
          <w:tab w:val="left" w:pos="3969"/>
          <w:tab w:val="left" w:pos="5273"/>
          <w:tab w:val="left" w:pos="6577"/>
          <w:tab w:val="left" w:pos="7881"/>
          <w:tab w:val="left" w:pos="9185"/>
          <w:tab w:val="left" w:pos="10489"/>
          <w:tab w:val="left" w:pos="11793"/>
          <w:tab w:val="left" w:pos="13097"/>
          <w:tab w:val="left" w:pos="14401"/>
        </w:tabs>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1.</w:t>
      </w:r>
      <w:r>
        <w:rPr>
          <w:rFonts w:ascii="Verdana" w:hAnsi="Verdana"/>
          <w:sz w:val="20"/>
        </w:rPr>
        <w:tab/>
        <w:t>Tanks should be sited as near as possible to a made-up road and be easily accessible to large vehicles (up to 44 tonne gross triaxles) on their approach and exit.</w:t>
      </w:r>
    </w:p>
    <w:p w:rsidR="002D49D3" w:rsidRDefault="002D49D3">
      <w:pPr>
        <w:pStyle w:val="Bridge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pPr>
      <w:r>
        <w:rPr>
          <w:rFonts w:ascii="Verdana" w:hAnsi="Verdana"/>
          <w:sz w:val="20"/>
        </w:rPr>
        <w:t>2.</w:t>
      </w:r>
      <w:r>
        <w:rPr>
          <w:rFonts w:ascii="Verdana" w:hAnsi="Verdana"/>
          <w:sz w:val="20"/>
        </w:rPr>
        <w:tab/>
        <w:t>Tanks should always be sited on concrete footings. Detailed specifications are available for all Yara Chafer supplied tanks.</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3.</w:t>
      </w:r>
      <w:r>
        <w:rPr>
          <w:rFonts w:ascii="Verdana" w:hAnsi="Verdana"/>
          <w:sz w:val="20"/>
        </w:rPr>
        <w:tab/>
        <w:t>Tanks should not be sited close to water courses or drains which run into watercourses to prevent any environmental damage from spillage or leakage, or be sited under or closely adjacent to overhead farm power cables due to the risk of electrocution during siting or replacement.  An Environmental &amp; Health &amp; Safety Risk Assessment should be completed by the farming enterprise as part of the siting decision including whether to bund.</w:t>
      </w:r>
    </w:p>
    <w:p w:rsidR="002D49D3" w:rsidRDefault="002D49D3">
      <w:pPr>
        <w:pStyle w:val="Bridge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4.</w:t>
      </w:r>
      <w:r>
        <w:rPr>
          <w:rFonts w:ascii="Verdana" w:hAnsi="Verdana"/>
          <w:sz w:val="20"/>
        </w:rPr>
        <w:tab/>
        <w:t>Consideration should be given to protecting the tank from possible physical damage by general farm traffic.  Farm equipment should not be placed around the tank.</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5.</w:t>
      </w:r>
      <w:r>
        <w:rPr>
          <w:rFonts w:ascii="Verdana" w:hAnsi="Verdana"/>
          <w:sz w:val="20"/>
        </w:rPr>
        <w:tab/>
        <w:t>If fertilizer is temporarily stored in mobile units careful consideration should be given to proximity to watercourses and unauthorized access by the public.</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ab/>
      </w:r>
      <w:r>
        <w:rPr>
          <w:rFonts w:ascii="Verdana" w:hAnsi="Verdana"/>
          <w:b/>
          <w:i/>
          <w:sz w:val="20"/>
        </w:rPr>
        <w:t>Delivery to farm storage is by professional hauliers.</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b/>
          <w:i/>
          <w:sz w:val="20"/>
        </w:rPr>
        <w:tab/>
        <w:t>Drivers are given instructions on what to look for to ensure safe and environmental integrity of the farm storage.</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b/>
          <w:i/>
          <w:sz w:val="20"/>
        </w:rPr>
        <w:tab/>
        <w:t>If for any reason the driver is unhappy with any aspect delivery may be withheld until such time as repairs / improvements required are carried out.</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BodySingle"/>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pPr>
      <w:r>
        <w:rPr>
          <w:rFonts w:ascii="Verdana" w:hAnsi="Verdana"/>
          <w:b/>
          <w:sz w:val="24"/>
        </w:rPr>
        <w:t>BUNDING if required (see section 3 above)</w:t>
      </w:r>
    </w:p>
    <w:p w:rsidR="002D49D3" w:rsidRDefault="002D49D3">
      <w:pPr>
        <w:pStyle w:val="BodySingle"/>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rPr>
      </w:pPr>
    </w:p>
    <w:p w:rsidR="002D49D3" w:rsidRDefault="00E5021D">
      <w:pPr>
        <w:pStyle w:val="BodySingle"/>
        <w:tabs>
          <w:tab w:val="left" w:pos="1360"/>
          <w:tab w:val="left" w:pos="2664"/>
          <w:tab w:val="left" w:pos="3969"/>
          <w:tab w:val="left" w:pos="5273"/>
          <w:tab w:val="left" w:pos="6577"/>
          <w:tab w:val="left" w:pos="7881"/>
          <w:tab w:val="left" w:pos="9185"/>
          <w:tab w:val="left" w:pos="10489"/>
          <w:tab w:val="left" w:pos="11793"/>
          <w:tab w:val="left" w:pos="13097"/>
          <w:tab w:val="left" w:pos="14401"/>
        </w:tabs>
      </w:pPr>
      <w:r>
        <w:rPr>
          <w:rFonts w:ascii="Verdana" w:hAnsi="Verdana"/>
          <w:b/>
          <w:u w:val="single"/>
        </w:rPr>
        <w:t>Construction</w:t>
      </w:r>
    </w:p>
    <w:p w:rsidR="002D49D3" w:rsidRDefault="002D49D3">
      <w:pPr>
        <w:pStyle w:val="BodySingle"/>
        <w:tabs>
          <w:tab w:val="left" w:pos="1360"/>
          <w:tab w:val="left" w:pos="2664"/>
          <w:tab w:val="left" w:pos="3969"/>
          <w:tab w:val="left" w:pos="5273"/>
          <w:tab w:val="left" w:pos="6577"/>
          <w:tab w:val="left" w:pos="7881"/>
          <w:tab w:val="left" w:pos="9185"/>
          <w:tab w:val="left" w:pos="10489"/>
          <w:tab w:val="left" w:pos="11793"/>
          <w:tab w:val="left" w:pos="13097"/>
          <w:tab w:val="left" w:pos="14401"/>
        </w:tabs>
        <w:rPr>
          <w:rFonts w:ascii="Verdana" w:hAnsi="Verdana"/>
          <w:sz w:val="20"/>
        </w:rPr>
      </w:pP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r>
        <w:rPr>
          <w:rFonts w:ascii="Verdana" w:hAnsi="Verdana"/>
          <w:sz w:val="20"/>
        </w:rPr>
        <w:t>1.</w:t>
      </w:r>
      <w:r>
        <w:rPr>
          <w:rFonts w:ascii="Verdana" w:hAnsi="Verdana"/>
          <w:sz w:val="20"/>
        </w:rPr>
        <w:tab/>
        <w:t>Tank foundations must be constructed according to Yara Chafer guidelines. (See footings diagram attached).</w:t>
      </w:r>
      <w:r>
        <w:rPr>
          <w:rFonts w:ascii="Verdana" w:hAnsi="Verdana"/>
          <w:sz w:val="20"/>
        </w:rPr>
        <w:tab/>
      </w:r>
      <w:r>
        <w:rPr>
          <w:rFonts w:ascii="Verdana" w:hAnsi="Verdana"/>
          <w:sz w:val="20"/>
        </w:rPr>
        <w:tab/>
      </w:r>
    </w:p>
    <w:p w:rsidR="002D49D3" w:rsidRDefault="002D49D3">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r>
        <w:rPr>
          <w:rFonts w:ascii="Verdana" w:hAnsi="Verdana"/>
          <w:sz w:val="20"/>
        </w:rPr>
        <w:t>2.</w:t>
      </w:r>
      <w:r>
        <w:rPr>
          <w:rFonts w:ascii="Verdana" w:hAnsi="Verdana"/>
          <w:sz w:val="20"/>
        </w:rPr>
        <w:tab/>
        <w:t>The bund must be constructed from impervious materials to contain any spillage.</w:t>
      </w:r>
    </w:p>
    <w:p w:rsidR="002D49D3" w:rsidRDefault="002D49D3">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r>
        <w:rPr>
          <w:rFonts w:ascii="Verdana" w:hAnsi="Verdana"/>
          <w:sz w:val="20"/>
        </w:rPr>
        <w:t>3.</w:t>
      </w:r>
      <w:r>
        <w:rPr>
          <w:rFonts w:ascii="Verdana" w:hAnsi="Verdana"/>
          <w:sz w:val="20"/>
        </w:rPr>
        <w:tab/>
        <w:t xml:space="preserve">Provision must be made for spillage or rainwater accumulation to be removed from within the bund. This can be achieved by building a slight slope into the bund floor falling to a sump built into the bund floor so that excess liquid can be pumped away. </w:t>
      </w: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pPr>
      <w:r>
        <w:rPr>
          <w:rFonts w:ascii="Verdana" w:hAnsi="Verdana"/>
          <w:b/>
          <w:u w:val="single"/>
        </w:rPr>
        <w:t>Bund Size (m</w:t>
      </w:r>
      <w:r>
        <w:rPr>
          <w:rFonts w:ascii="Verdana" w:hAnsi="Verdana"/>
          <w:b/>
          <w:vertAlign w:val="superscript"/>
        </w:rPr>
        <w:t>3</w:t>
      </w:r>
      <w:r>
        <w:rPr>
          <w:rFonts w:ascii="Verdana" w:hAnsi="Verdana"/>
          <w:b/>
        </w:rPr>
        <w:t>)</w:t>
      </w:r>
    </w:p>
    <w:p w:rsidR="002D49D3" w:rsidRDefault="002D49D3">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pPr>
      <w:r>
        <w:rPr>
          <w:rFonts w:ascii="Verdana" w:hAnsi="Verdana"/>
          <w:sz w:val="20"/>
        </w:rPr>
        <w:t>1.</w:t>
      </w:r>
      <w:r>
        <w:rPr>
          <w:rFonts w:ascii="Verdana" w:hAnsi="Verdana"/>
          <w:sz w:val="20"/>
        </w:rPr>
        <w:tab/>
        <w:t>The bund capacity should be 110% of the tank capacity or, for a group of tanks, 25% of the capacity of the group or 110% of the largest tank in the group, whichever is greater.  (1000 Litres = 1 m</w:t>
      </w:r>
      <w:r>
        <w:rPr>
          <w:rFonts w:ascii="Verdana" w:hAnsi="Verdana"/>
          <w:sz w:val="20"/>
          <w:vertAlign w:val="superscript"/>
        </w:rPr>
        <w:t>3</w:t>
      </w:r>
      <w:r>
        <w:rPr>
          <w:rFonts w:ascii="Verdana" w:hAnsi="Verdana"/>
          <w:sz w:val="20"/>
        </w:rPr>
        <w:t xml:space="preserve">) </w:t>
      </w: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pPr>
      <w:r>
        <w:rPr>
          <w:rFonts w:ascii="Verdana" w:hAnsi="Verdana"/>
        </w:rPr>
        <w:tab/>
      </w: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pPr>
      <w:r>
        <w:rPr>
          <w:rFonts w:ascii="Verdana" w:hAnsi="Verdana"/>
          <w:b/>
          <w:u w:val="single"/>
        </w:rPr>
        <w:t>Pipework/Valves</w:t>
      </w: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r>
        <w:rPr>
          <w:rFonts w:ascii="Verdana" w:hAnsi="Verdana"/>
          <w:sz w:val="20"/>
        </w:rPr>
        <w:tab/>
      </w: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r>
        <w:rPr>
          <w:rFonts w:ascii="Verdana" w:hAnsi="Verdana"/>
          <w:sz w:val="20"/>
        </w:rPr>
        <w:t>1.</w:t>
      </w:r>
      <w:r>
        <w:rPr>
          <w:rFonts w:ascii="Verdana" w:hAnsi="Verdana"/>
          <w:sz w:val="20"/>
        </w:rPr>
        <w:tab/>
        <w:t>All pipework, valves, and the tanks themselves must be within the bund walls.</w:t>
      </w:r>
    </w:p>
    <w:p w:rsidR="002D49D3" w:rsidRDefault="002D49D3">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p>
    <w:p w:rsidR="002D49D3" w:rsidRDefault="00E5021D">
      <w:pPr>
        <w:pStyle w:val="BodySingle"/>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Verdana" w:hAnsi="Verdana"/>
          <w:sz w:val="20"/>
        </w:rPr>
      </w:pPr>
      <w:r>
        <w:rPr>
          <w:rFonts w:ascii="Verdana" w:hAnsi="Verdana"/>
          <w:sz w:val="20"/>
        </w:rPr>
        <w:t>2.</w:t>
      </w:r>
      <w:r>
        <w:rPr>
          <w:rFonts w:ascii="Verdana" w:hAnsi="Verdana"/>
          <w:sz w:val="20"/>
        </w:rPr>
        <w:tab/>
        <w:t>All valves should be lockable.</w:t>
      </w:r>
      <w:r>
        <w:rPr>
          <w:rFonts w:ascii="Verdana" w:hAnsi="Verdana"/>
          <w:sz w:val="20"/>
        </w:rPr>
        <w:cr/>
      </w:r>
      <w:r>
        <w:br w:type="page"/>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b/>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b/>
        </w:rPr>
      </w:pPr>
      <w:r>
        <w:rPr>
          <w:rFonts w:ascii="Verdana" w:hAnsi="Verdana"/>
          <w:b/>
          <w:sz w:val="24"/>
        </w:rPr>
        <w:t>SECURITY</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1.</w:t>
      </w:r>
      <w:r>
        <w:rPr>
          <w:rFonts w:ascii="Verdana" w:hAnsi="Verdana"/>
          <w:sz w:val="20"/>
        </w:rPr>
        <w:tab/>
        <w:t>Tank valves should be locked when the tank is unattended.  To facilitate deliveries to unattended tanks Yara Chafer can supply padlocks with duplicate keys for use by their hauliers.</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pPr>
      <w:r>
        <w:rPr>
          <w:rFonts w:ascii="Verdana" w:hAnsi="Verdana"/>
          <w:b/>
          <w:sz w:val="24"/>
        </w:rPr>
        <w:t>INSPECTION AND MAINTENANCE</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1.</w:t>
      </w:r>
      <w:r>
        <w:rPr>
          <w:rFonts w:ascii="Verdana" w:hAnsi="Verdana"/>
          <w:sz w:val="20"/>
        </w:rPr>
        <w:tab/>
        <w:t>Tanks should be completely emptied once each year and any sediment should be disposed of in a safe manner (for example on cereal stubbles).  In the case of steel tanks, internal surfaces should be inspected for corrosion.</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2.</w:t>
      </w:r>
      <w:r>
        <w:rPr>
          <w:rFonts w:ascii="Verdana" w:hAnsi="Verdana"/>
          <w:sz w:val="20"/>
        </w:rPr>
        <w:tab/>
        <w:t>Storage tank footings should be checked on a regular basis, looking in particular for any cracks in the concrete supports, whether the concrete supports have sunk into the ground, and whether the sand base is still in place.</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pPr>
      <w:r>
        <w:rPr>
          <w:rFonts w:ascii="Verdana" w:hAnsi="Verdana"/>
          <w:b/>
          <w:sz w:val="24"/>
        </w:rPr>
        <w:t>SAFETY</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1.</w:t>
      </w:r>
      <w:r>
        <w:rPr>
          <w:rFonts w:ascii="Verdana" w:hAnsi="Verdana"/>
          <w:sz w:val="20"/>
        </w:rPr>
        <w:tab/>
        <w:t>If when carrying out internal cleaning or painting etc, it becomes necessary to enter the tank, then strict safety precautions are required.  Guidance note GS5 from the Health and Safety Executive gives useful advice in these circumstances.</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2.</w:t>
      </w:r>
      <w:r>
        <w:rPr>
          <w:rFonts w:ascii="Verdana" w:hAnsi="Verdana"/>
          <w:sz w:val="20"/>
        </w:rPr>
        <w:tab/>
        <w:t>Tank exteriors should be regularly inspected.  When necessary steel tanks should be repainted with a suitable bitumastic paint after first removing any flakes of loose paint or rust.</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3.</w:t>
      </w:r>
      <w:r>
        <w:rPr>
          <w:rFonts w:ascii="Verdana" w:hAnsi="Verdana"/>
          <w:sz w:val="20"/>
        </w:rPr>
        <w:tab/>
        <w:t>All delivery and discharge pipelines and valves together with sight gauge valves and pipes should be inspected regularly and serviced annually.</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b/>
        </w:rPr>
      </w:pPr>
      <w:r>
        <w:rPr>
          <w:rFonts w:ascii="Verdana" w:hAnsi="Verdana"/>
          <w:b/>
          <w:sz w:val="24"/>
        </w:rPr>
        <w:t>SPILLAGE</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In the event of spillage:-</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1.</w:t>
      </w:r>
      <w:r>
        <w:rPr>
          <w:rFonts w:ascii="Verdana" w:hAnsi="Verdana"/>
          <w:sz w:val="20"/>
        </w:rPr>
        <w:tab/>
        <w:t>The spillage should be contained and prevented from entering watercourses.  Damming of watercourses should be considered.</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2.</w:t>
      </w:r>
      <w:r>
        <w:rPr>
          <w:rFonts w:ascii="Verdana" w:hAnsi="Verdana"/>
          <w:sz w:val="20"/>
        </w:rPr>
        <w:tab/>
        <w:t>If assistance is required in emptying leaking storage tanks, contact Yara Chafer distribution or the 24 hour emergency response number 01865407333</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r>
        <w:rPr>
          <w:rFonts w:ascii="Verdana" w:hAnsi="Verdana"/>
          <w:sz w:val="20"/>
        </w:rPr>
        <w:t>3.</w:t>
      </w:r>
      <w:r>
        <w:rPr>
          <w:rFonts w:ascii="Verdana" w:hAnsi="Verdana"/>
          <w:sz w:val="20"/>
        </w:rPr>
        <w:tab/>
        <w:t>If contamination of drains or watercourses occurs the appropriate river authority should be contacted immediately.</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b/>
        </w:rPr>
      </w:pPr>
      <w:r>
        <w:rPr>
          <w:rFonts w:ascii="Verdana" w:hAnsi="Verdana"/>
          <w:b/>
          <w:sz w:val="24"/>
        </w:rPr>
        <w:t>INSURANCE</w:t>
      </w:r>
    </w:p>
    <w:p w:rsidR="002D49D3" w:rsidRDefault="002D49D3">
      <w:pPr>
        <w:pStyle w:val="DefaultText"/>
        <w:tabs>
          <w:tab w:val="left" w:pos="86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864" w:hanging="864"/>
        <w:rPr>
          <w:rFonts w:ascii="Verdana" w:hAnsi="Verdana"/>
          <w:sz w:val="20"/>
        </w:rPr>
      </w:pPr>
    </w:p>
    <w:p w:rsidR="002D49D3" w:rsidRDefault="00E5021D">
      <w:pPr>
        <w:pStyle w:val="DefaultText"/>
        <w:tabs>
          <w:tab w:val="left" w:pos="858"/>
          <w:tab w:val="left" w:pos="2664"/>
          <w:tab w:val="left" w:pos="3969"/>
          <w:tab w:val="left" w:pos="5273"/>
          <w:tab w:val="left" w:pos="6577"/>
          <w:tab w:val="left" w:pos="7881"/>
          <w:tab w:val="left" w:pos="9185"/>
          <w:tab w:val="left" w:pos="10489"/>
          <w:tab w:val="left" w:pos="11793"/>
          <w:tab w:val="left" w:pos="13097"/>
          <w:tab w:val="left" w:pos="14401"/>
        </w:tabs>
        <w:ind w:left="855" w:hanging="852"/>
      </w:pPr>
      <w:r>
        <w:rPr>
          <w:rFonts w:ascii="Verdana" w:hAnsi="Verdana"/>
          <w:sz w:val="20"/>
        </w:rPr>
        <w:t>1.</w:t>
      </w:r>
      <w:r>
        <w:rPr>
          <w:rFonts w:ascii="Verdana" w:hAnsi="Verdana"/>
          <w:sz w:val="20"/>
        </w:rPr>
        <w:tab/>
        <w:t>We would recommend that adequate farm insurance be arranged for the tank and its contents.  It is a condition of the Yara UK Limited Tank Hire Agreement that Hire Tanks are insured.</w:t>
      </w:r>
    </w:p>
    <w:p w:rsidR="002D49D3" w:rsidRDefault="002D49D3">
      <w:pPr>
        <w:pStyle w:val="BridgeText"/>
        <w:tabs>
          <w:tab w:val="left" w:pos="1026"/>
          <w:tab w:val="left" w:pos="2664"/>
          <w:tab w:val="left" w:pos="3969"/>
          <w:tab w:val="left" w:pos="5273"/>
          <w:tab w:val="left" w:pos="6577"/>
          <w:tab w:val="left" w:pos="7881"/>
          <w:tab w:val="left" w:pos="9185"/>
          <w:tab w:val="left" w:pos="10489"/>
          <w:tab w:val="left" w:pos="11793"/>
          <w:tab w:val="left" w:pos="13097"/>
          <w:tab w:val="left" w:pos="14401"/>
        </w:tabs>
        <w:ind w:firstLine="66"/>
      </w:pPr>
    </w:p>
    <w:sectPr w:rsidR="002D49D3">
      <w:headerReference w:type="default" r:id="rId6"/>
      <w:pgSz w:w="11907" w:h="16838"/>
      <w:pgMar w:top="1247" w:right="1188" w:bottom="1134" w:left="1083" w:header="567" w:footer="3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D3" w:rsidRDefault="00E5021D">
      <w:r>
        <w:separator/>
      </w:r>
    </w:p>
  </w:endnote>
  <w:endnote w:type="continuationSeparator" w:id="0">
    <w:p w:rsidR="002D49D3" w:rsidRDefault="00E5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D3" w:rsidRDefault="00E5021D">
      <w:r>
        <w:separator/>
      </w:r>
    </w:p>
  </w:footnote>
  <w:footnote w:type="continuationSeparator" w:id="0">
    <w:p w:rsidR="002D49D3" w:rsidRDefault="00E5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D3" w:rsidRDefault="002D49D3">
    <w:pPr>
      <w:pStyle w:val="DefaultText"/>
      <w:framePr w:w="9641" w:h="99" w:hRule="exact" w:wrap="notBeside" w:vAnchor="page" w:hAnchor="page" w:x="1076" w:y="1468"/>
      <w:pBdr>
        <w:top w:val="single" w:sz="16" w:space="31" w:color="000000"/>
        <w:left w:val="none" w:sz="1" w:space="0" w:color="000000"/>
        <w:bottom w:val="none" w:sz="1" w:space="0" w:color="000000"/>
        <w:right w:val="none" w:sz="1" w:space="0" w:color="000000"/>
      </w:pBdr>
      <w:shd w:val="clear" w:color="000000" w:fill="FFFFFF"/>
    </w:pPr>
  </w:p>
  <w:p w:rsidR="002D49D3" w:rsidRDefault="00E5021D">
    <w:pPr>
      <w:pStyle w:val="DefaultText"/>
      <w:framePr w:w="3124" w:h="1136" w:hRule="exact" w:wrap="around" w:vAnchor="page" w:hAnchor="page" w:x="7559" w:y="306"/>
      <w:pBdr>
        <w:top w:val="none" w:sz="1" w:space="0" w:color="000000"/>
        <w:left w:val="none" w:sz="1" w:space="0" w:color="000000"/>
        <w:bottom w:val="none" w:sz="1" w:space="0" w:color="000000"/>
        <w:right w:val="none" w:sz="1" w:space="0" w:color="000000"/>
      </w:pBdr>
      <w:jc w:val="right"/>
      <w:rPr>
        <w:rFonts w:ascii="Verdana" w:hAnsi="Verdana"/>
        <w:sz w:val="24"/>
      </w:rPr>
    </w:pPr>
    <w:r>
      <w:rPr>
        <w:rFonts w:ascii="Verdana" w:hAnsi="Verdana"/>
        <w:b/>
        <w:sz w:val="24"/>
      </w:rPr>
      <w:t>Liquid Fertilizer</w:t>
    </w:r>
  </w:p>
  <w:p w:rsidR="002D49D3" w:rsidRDefault="00E5021D">
    <w:pPr>
      <w:pStyle w:val="BridgeText"/>
      <w:framePr w:w="3124" w:h="1136" w:hRule="exact" w:wrap="around" w:vAnchor="page" w:hAnchor="page" w:x="7559" w:y="306"/>
      <w:pBdr>
        <w:top w:val="none" w:sz="1" w:space="0" w:color="000000"/>
        <w:left w:val="none" w:sz="1" w:space="0" w:color="000000"/>
        <w:bottom w:val="none" w:sz="1" w:space="0" w:color="000000"/>
        <w:right w:val="none" w:sz="1" w:space="0" w:color="000000"/>
      </w:pBdr>
      <w:jc w:val="right"/>
    </w:pPr>
    <w:r>
      <w:rPr>
        <w:rFonts w:ascii="Verdana" w:hAnsi="Verdana"/>
        <w:b/>
        <w:sz w:val="24"/>
      </w:rPr>
      <w:t>Farm Storage Systems</w:t>
    </w:r>
  </w:p>
  <w:p w:rsidR="002D49D3" w:rsidRDefault="00E5021D">
    <w:pPr>
      <w:pStyle w:val="BridgeText"/>
      <w:framePr w:w="3124" w:h="1136" w:hRule="exact" w:wrap="around" w:vAnchor="page" w:hAnchor="page" w:x="7559" w:y="306"/>
      <w:pBdr>
        <w:top w:val="none" w:sz="1" w:space="0" w:color="000000"/>
        <w:left w:val="none" w:sz="1" w:space="0" w:color="000000"/>
        <w:bottom w:val="none" w:sz="1" w:space="0" w:color="000000"/>
        <w:right w:val="none" w:sz="1" w:space="0" w:color="000000"/>
      </w:pBdr>
      <w:jc w:val="right"/>
    </w:pPr>
    <w:r>
      <w:t xml:space="preserve">Page </w:t>
    </w:r>
    <w:r>
      <w:fldChar w:fldCharType="begin"/>
    </w:r>
    <w:r>
      <w:instrText>page  \* MERGEFORMAT</w:instrText>
    </w:r>
    <w:r>
      <w:fldChar w:fldCharType="separate"/>
    </w:r>
    <w:r w:rsidR="007220F1">
      <w:rPr>
        <w:noProof/>
      </w:rPr>
      <w:t>2</w:t>
    </w:r>
    <w:r>
      <w:fldChar w:fldCharType="end"/>
    </w:r>
    <w:r>
      <w:t xml:space="preserve"> of 2</w:t>
    </w:r>
  </w:p>
  <w:p w:rsidR="002D49D3" w:rsidRDefault="00E5021D">
    <w:pPr>
      <w:pStyle w:val="DefaultText"/>
      <w:framePr w:w="2992" w:h="842" w:hRule="exact" w:wrap="around" w:vAnchor="page" w:hAnchor="page" w:x="2189" w:y="346"/>
      <w:pBdr>
        <w:top w:val="none" w:sz="1" w:space="0" w:color="000000"/>
        <w:left w:val="none" w:sz="1" w:space="0" w:color="000000"/>
        <w:bottom w:val="none" w:sz="1" w:space="0" w:color="000000"/>
        <w:right w:val="none" w:sz="1" w:space="0" w:color="000000"/>
      </w:pBdr>
      <w:shd w:val="clear" w:color="000000" w:fill="FFFFFF"/>
    </w:pPr>
    <w:r>
      <w:rPr>
        <w:sz w:val="28"/>
      </w:rPr>
      <w:t>Yara UK Limited</w:t>
    </w:r>
  </w:p>
  <w:p w:rsidR="002D49D3" w:rsidRDefault="002D49D3">
    <w:pPr>
      <w:pStyle w:val="BridgeText"/>
      <w:framePr w:w="2992" w:h="842" w:hRule="exact" w:wrap="around" w:vAnchor="page" w:hAnchor="page" w:x="2189" w:y="346"/>
      <w:pBdr>
        <w:top w:val="none" w:sz="1" w:space="0" w:color="000000"/>
        <w:left w:val="none" w:sz="1" w:space="0" w:color="000000"/>
        <w:bottom w:val="none" w:sz="1" w:space="0" w:color="000000"/>
        <w:right w:val="none" w:sz="1" w:space="0" w:color="000000"/>
      </w:pBdr>
      <w:shd w:val="clear" w:color="000000" w:fill="FFFFFF"/>
    </w:pPr>
  </w:p>
  <w:p w:rsidR="002D49D3" w:rsidRDefault="00E5021D">
    <w:pPr>
      <w:pStyle w:val="DefaultText"/>
      <w:framePr w:w="9675" w:h="905" w:hRule="exact" w:wrap="around" w:vAnchor="page" w:hAnchor="page" w:x="1127" w:y="15710"/>
      <w:pBdr>
        <w:top w:val="single" w:sz="8" w:space="0" w:color="000000"/>
        <w:left w:val="none" w:sz="1" w:space="0" w:color="000000"/>
        <w:bottom w:val="none" w:sz="1" w:space="0" w:color="000000"/>
        <w:right w:val="none" w:sz="1" w:space="0" w:color="000000"/>
      </w:pBdr>
      <w:shd w:val="clear" w:color="000000" w:fill="FFFFFF"/>
      <w:jc w:val="right"/>
      <w:rPr>
        <w:sz w:val="18"/>
      </w:rPr>
    </w:pPr>
    <w:r>
      <w:rPr>
        <w:sz w:val="18"/>
      </w:rPr>
      <w:t>March 2004</w:t>
    </w:r>
  </w:p>
  <w:p w:rsidR="002D49D3" w:rsidRDefault="00376ACF">
    <w:pPr>
      <w:pStyle w:val="Header"/>
      <w:tabs>
        <w:tab w:val="center" w:pos="4857"/>
        <w:tab w:val="right" w:pos="9639"/>
      </w:tabs>
    </w:pPr>
    <w:r>
      <w:rPr>
        <w:noProof/>
        <w:sz w:val="20"/>
        <w:lang w:val="en-GB" w:eastAsia="en-GB"/>
      </w:rPr>
      <w:drawing>
        <wp:anchor distT="0" distB="0" distL="114300" distR="114300" simplePos="0" relativeHeight="251657728" behindDoc="0" locked="0" layoutInCell="1" allowOverlap="1">
          <wp:simplePos x="0" y="0"/>
          <wp:positionH relativeFrom="column">
            <wp:posOffset>-27305</wp:posOffset>
          </wp:positionH>
          <wp:positionV relativeFrom="paragraph">
            <wp:posOffset>-109220</wp:posOffset>
          </wp:positionV>
          <wp:extent cx="558800" cy="558800"/>
          <wp:effectExtent l="0" t="0" r="0" b="0"/>
          <wp:wrapSquare wrapText="bothSides"/>
          <wp:docPr id="1" name="Picture 1" descr="C:\Documents and Settings\436433\Application Data\Microsoft\Media Catalog\Y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436433\Application Data\Microsoft\Media Catalog\Y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r w:rsidR="00E5021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CF"/>
    <w:rsid w:val="002D49D3"/>
    <w:rsid w:val="00376ACF"/>
    <w:rsid w:val="007220F1"/>
    <w:rsid w:val="00A922F6"/>
    <w:rsid w:val="00E5021D"/>
    <w:rsid w:val="00F4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E2F2330F-20AF-4BD7-9CF5-4B94F4A7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21D"/>
    <w:rPr>
      <w:rFonts w:ascii="Tahoma" w:hAnsi="Tahoma" w:cs="Tahoma"/>
      <w:sz w:val="16"/>
      <w:szCs w:val="16"/>
    </w:rPr>
  </w:style>
  <w:style w:type="paragraph" w:styleId="Header">
    <w:name w:val="header"/>
    <w:basedOn w:val="Normal"/>
    <w:semiHidden/>
    <w:rPr>
      <w:rFonts w:ascii="Arial" w:hAnsi="Arial"/>
      <w:color w:val="000000"/>
      <w:sz w:val="22"/>
    </w:rPr>
  </w:style>
  <w:style w:type="paragraph" w:styleId="Footer">
    <w:name w:val="footer"/>
    <w:basedOn w:val="Normal"/>
    <w:semiHidden/>
    <w:rPr>
      <w:rFonts w:ascii="Arial" w:hAnsi="Arial"/>
      <w:color w:val="000000"/>
      <w:sz w:val="18"/>
    </w:rPr>
  </w:style>
  <w:style w:type="paragraph" w:customStyle="1" w:styleId="TableText">
    <w:name w:val="Table Text"/>
    <w:basedOn w:val="Normal"/>
    <w:rPr>
      <w:rFonts w:ascii="Arial" w:hAnsi="Arial"/>
      <w:color w:val="000000"/>
      <w:sz w:val="22"/>
    </w:rPr>
  </w:style>
  <w:style w:type="paragraph" w:customStyle="1" w:styleId="BridgeFtNote">
    <w:name w:val="BridgeFtNote"/>
    <w:basedOn w:val="Normal"/>
    <w:rPr>
      <w:rFonts w:ascii="Arial" w:hAnsi="Arial"/>
      <w:color w:val="000000"/>
      <w:sz w:val="22"/>
    </w:rPr>
  </w:style>
  <w:style w:type="paragraph" w:customStyle="1" w:styleId="BridgeTblText">
    <w:name w:val="BridgeTblText"/>
    <w:basedOn w:val="Normal"/>
    <w:rPr>
      <w:rFonts w:ascii="Arial" w:hAnsi="Arial"/>
      <w:color w:val="000000"/>
      <w:sz w:val="22"/>
    </w:rPr>
  </w:style>
  <w:style w:type="paragraph" w:customStyle="1" w:styleId="BodySingle">
    <w:name w:val="Body Single"/>
    <w:basedOn w:val="Normal"/>
    <w:rPr>
      <w:rFonts w:ascii="Arial" w:hAnsi="Arial"/>
      <w:color w:val="000000"/>
      <w:sz w:val="22"/>
    </w:rPr>
  </w:style>
  <w:style w:type="paragraph" w:customStyle="1" w:styleId="Indent">
    <w:name w:val="Indent"/>
    <w:basedOn w:val="Normal"/>
    <w:pPr>
      <w:ind w:left="1360" w:hanging="1360"/>
    </w:pPr>
    <w:rPr>
      <w:rFonts w:ascii="Arial" w:hAnsi="Arial"/>
      <w:color w:val="000000"/>
      <w:sz w:val="22"/>
    </w:rPr>
  </w:style>
  <w:style w:type="paragraph" w:customStyle="1" w:styleId="BodyLine">
    <w:name w:val="Body Line"/>
    <w:basedOn w:val="Normal"/>
    <w:pPr>
      <w:pBdr>
        <w:bottom w:val="single" w:sz="4" w:space="0" w:color="000000"/>
      </w:pBdr>
      <w:spacing w:after="283"/>
    </w:pPr>
    <w:rPr>
      <w:rFonts w:ascii="Arial" w:hAnsi="Arial"/>
      <w:color w:val="000000"/>
      <w:sz w:val="22"/>
    </w:rPr>
  </w:style>
  <w:style w:type="paragraph" w:customStyle="1" w:styleId="NumberList">
    <w:name w:val="Number List"/>
    <w:basedOn w:val="Normal"/>
    <w:rPr>
      <w:rFonts w:ascii="Arial" w:hAnsi="Arial"/>
      <w:color w:val="000000"/>
      <w:sz w:val="22"/>
    </w:rPr>
  </w:style>
  <w:style w:type="paragraph" w:customStyle="1" w:styleId="Bullet2">
    <w:name w:val="Bullet2"/>
    <w:basedOn w:val="Normal"/>
    <w:rPr>
      <w:rFonts w:ascii="Arial" w:hAnsi="Arial"/>
      <w:color w:val="000000"/>
      <w:sz w:val="22"/>
    </w:rPr>
  </w:style>
  <w:style w:type="paragraph" w:customStyle="1" w:styleId="Bullet1">
    <w:name w:val="Bullet1"/>
    <w:basedOn w:val="Normal"/>
    <w:rPr>
      <w:rFonts w:ascii="Arial" w:hAnsi="Arial"/>
      <w:color w:val="000000"/>
      <w:sz w:val="22"/>
    </w:rPr>
  </w:style>
  <w:style w:type="paragraph" w:customStyle="1" w:styleId="Bullet">
    <w:name w:val="Bullet"/>
    <w:basedOn w:val="Normal"/>
    <w:rPr>
      <w:rFonts w:ascii="Arial" w:hAnsi="Arial"/>
      <w:color w:val="000000"/>
      <w:sz w:val="22"/>
    </w:rPr>
  </w:style>
  <w:style w:type="paragraph" w:customStyle="1" w:styleId="Contents4">
    <w:name w:val="Contents4"/>
    <w:basedOn w:val="Normal"/>
    <w:pPr>
      <w:keepNext/>
      <w:keepLines/>
      <w:tabs>
        <w:tab w:val="left" w:pos="2297"/>
        <w:tab w:val="left" w:pos="3423"/>
        <w:tab w:val="left" w:pos="5136"/>
        <w:tab w:val="left" w:pos="6273"/>
        <w:tab w:val="left" w:pos="7701"/>
        <w:tab w:val="left" w:pos="9126"/>
        <w:tab w:val="left" w:pos="9979"/>
      </w:tabs>
      <w:spacing w:before="311" w:after="113"/>
    </w:pPr>
    <w:rPr>
      <w:rFonts w:ascii="Arial" w:hAnsi="Arial"/>
      <w:b/>
      <w:color w:val="000000"/>
      <w:sz w:val="22"/>
    </w:rPr>
  </w:style>
  <w:style w:type="paragraph" w:customStyle="1" w:styleId="Contents3">
    <w:name w:val="Contents3"/>
    <w:basedOn w:val="Normal"/>
    <w:pPr>
      <w:keepNext/>
      <w:keepLines/>
      <w:spacing w:before="311" w:after="113"/>
    </w:pPr>
    <w:rPr>
      <w:rFonts w:ascii="Arial" w:hAnsi="Arial"/>
      <w:b/>
      <w:color w:val="000000"/>
      <w:sz w:val="22"/>
    </w:rPr>
  </w:style>
  <w:style w:type="paragraph" w:customStyle="1" w:styleId="Contents2">
    <w:name w:val="Contents2"/>
    <w:basedOn w:val="Normal"/>
    <w:pPr>
      <w:keepNext/>
      <w:keepLines/>
      <w:spacing w:before="311" w:after="113"/>
    </w:pPr>
    <w:rPr>
      <w:rFonts w:ascii="Arial" w:hAnsi="Arial"/>
      <w:b/>
      <w:color w:val="000000"/>
      <w:sz w:val="24"/>
    </w:rPr>
  </w:style>
  <w:style w:type="paragraph" w:customStyle="1" w:styleId="Contents1">
    <w:name w:val="Contents1"/>
    <w:basedOn w:val="Normal"/>
    <w:pPr>
      <w:keepNext/>
      <w:keepLines/>
      <w:spacing w:before="623" w:after="113"/>
    </w:pPr>
    <w:rPr>
      <w:rFonts w:ascii="Arial" w:hAnsi="Arial"/>
      <w:b/>
      <w:color w:val="000000"/>
      <w:sz w:val="26"/>
    </w:rPr>
  </w:style>
  <w:style w:type="paragraph" w:customStyle="1" w:styleId="ContentsText">
    <w:name w:val="Contents Text"/>
    <w:basedOn w:val="Normal"/>
    <w:pPr>
      <w:ind w:left="1360" w:hanging="5"/>
    </w:pPr>
    <w:rPr>
      <w:rFonts w:ascii="Arial" w:hAnsi="Arial"/>
      <w:color w:val="000000"/>
      <w:sz w:val="22"/>
    </w:rPr>
  </w:style>
  <w:style w:type="paragraph" w:customStyle="1" w:styleId="Heading">
    <w:name w:val="Heading"/>
    <w:basedOn w:val="Normal"/>
    <w:pPr>
      <w:keepNext/>
      <w:keepLines/>
      <w:tabs>
        <w:tab w:val="left" w:pos="2297"/>
        <w:tab w:val="left" w:pos="3423"/>
        <w:tab w:val="left" w:pos="5136"/>
        <w:tab w:val="left" w:pos="6273"/>
        <w:tab w:val="left" w:pos="7701"/>
        <w:tab w:val="left" w:pos="9126"/>
        <w:tab w:val="left" w:pos="9979"/>
      </w:tabs>
      <w:spacing w:before="311" w:after="113"/>
      <w:ind w:left="1360"/>
    </w:pPr>
    <w:rPr>
      <w:rFonts w:ascii="Arial" w:hAnsi="Arial"/>
      <w:b/>
      <w:color w:val="000000"/>
      <w:sz w:val="22"/>
    </w:rPr>
  </w:style>
  <w:style w:type="paragraph" w:customStyle="1" w:styleId="BridgeText">
    <w:name w:val="Bridge Text"/>
    <w:basedOn w:val="Normal"/>
    <w:rPr>
      <w:rFonts w:ascii="Arial" w:hAnsi="Arial"/>
      <w:color w:val="000000"/>
      <w:sz w:val="22"/>
    </w:rPr>
  </w:style>
  <w:style w:type="paragraph" w:customStyle="1" w:styleId="DefaultText">
    <w:name w:val="Default Text"/>
    <w:basedOn w:val="Normal"/>
    <w:rPr>
      <w:rFonts w:ascii="Arial" w:hAnsi="Arial"/>
      <w:color w:val="000000"/>
      <w:sz w:val="22"/>
    </w:rPr>
  </w:style>
  <w:style w:type="character" w:customStyle="1" w:styleId="BalloonTextChar">
    <w:name w:val="Balloon Text Char"/>
    <w:basedOn w:val="DefaultParagraphFont"/>
    <w:link w:val="BalloonText"/>
    <w:uiPriority w:val="99"/>
    <w:semiHidden/>
    <w:rsid w:val="00E5021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FA9AF58</Template>
  <TotalTime>0</TotalTime>
  <Pages>2</Pages>
  <Words>678</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STORAGE GUIDELINES FOR LIQUID FERTILIZER</vt:lpstr>
    </vt:vector>
  </TitlesOfParts>
  <Company>Norsk Hydro ASA</Company>
  <LinksUpToDate>false</LinksUpToDate>
  <CharactersWithSpaces>4228</CharactersWithSpaces>
  <SharedDoc>false</SharedDoc>
  <HLinks>
    <vt:vector size="6" baseType="variant">
      <vt:variant>
        <vt:i4>3866660</vt:i4>
      </vt:variant>
      <vt:variant>
        <vt:i4>-1</vt:i4>
      </vt:variant>
      <vt:variant>
        <vt:i4>2049</vt:i4>
      </vt:variant>
      <vt:variant>
        <vt:i4>1</vt:i4>
      </vt:variant>
      <vt:variant>
        <vt:lpwstr>C:\Documents and Settings\436433\Application Data\Microsoft\Media Catalog\YARA.jpg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GUIDELINES FOR LIQUID FERTILIZER</dc:title>
  <dc:creator>Alan Brian Capindale</dc:creator>
  <cp:lastModifiedBy>Tim Hall</cp:lastModifiedBy>
  <cp:revision>2</cp:revision>
  <cp:lastPrinted>2014-10-29T10:28:00Z</cp:lastPrinted>
  <dcterms:created xsi:type="dcterms:W3CDTF">2018-10-25T09:06:00Z</dcterms:created>
  <dcterms:modified xsi:type="dcterms:W3CDTF">2018-10-25T09:06:00Z</dcterms:modified>
</cp:coreProperties>
</file>